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06" w:rsidRDefault="00256B06" w:rsidP="00256B06">
      <w:pPr>
        <w:ind w:firstLineChars="150" w:firstLine="330"/>
        <w:rPr>
          <w:rFonts w:hint="eastAsia"/>
        </w:rPr>
      </w:pPr>
      <w:r>
        <w:rPr>
          <w:rFonts w:hint="eastAsia"/>
        </w:rPr>
        <w:t>以前国内粉体市场上绝大多数产品对粉体后处理要求不高，普通的方法就能得到粉体所需的要求。但随着粉体行业竞争日益激烈，许多粉体企业正在不断朝着纳米粉体方向发展，老工艺得到粉体方法已不太适用。寻找制备纳米粉体的方法以成了企业的的一关健所在。</w:t>
      </w:r>
    </w:p>
    <w:p w:rsidR="00256B06" w:rsidRPr="00256B06" w:rsidRDefault="00256B06" w:rsidP="00256B06">
      <w:pPr>
        <w:rPr>
          <w:rFonts w:hint="eastAsia"/>
          <w:color w:val="0070C0"/>
          <w:sz w:val="28"/>
          <w:szCs w:val="28"/>
        </w:rPr>
      </w:pPr>
      <w:r w:rsidRPr="00256B06">
        <w:rPr>
          <w:rFonts w:hint="eastAsia"/>
          <w:color w:val="0070C0"/>
          <w:sz w:val="28"/>
          <w:szCs w:val="28"/>
        </w:rPr>
        <w:t>【干法研磨和湿法研磨情况简介】</w:t>
      </w:r>
    </w:p>
    <w:p w:rsidR="00256B06" w:rsidRDefault="00256B06" w:rsidP="00256B06">
      <w:r>
        <w:rPr>
          <w:rFonts w:hint="eastAsia"/>
        </w:rPr>
        <w:t>目前为止，企业界是以物理机械研磨方法以得到纳米级粉体为主。</w:t>
      </w:r>
      <w:r>
        <w:rPr>
          <w:rFonts w:hint="eastAsia"/>
        </w:rPr>
        <w:t xml:space="preserve"> </w:t>
      </w:r>
      <w:r>
        <w:rPr>
          <w:rFonts w:hint="eastAsia"/>
        </w:rPr>
        <w:t>即干法研磨和湿法研磨，对纳米粉体制造厂而言，当然希望以干法研磨方法来得到最终纳米粉体。但若以机械研磨方式研磨粉体时，在研磨过程中，粉体温度将因大量能量导入而急速上升，且当颗粒微细化后，如何避免防爆问题产生等均是研磨机难以掌控的。所以湿法研磨得到纳米粉体是最有效且最合乎经济效益方法。它避免了化学法纳米粉体制造方法的高成本，也避免了机械法中干法研磨细度难以达到纳米级粉体的不足。一般干法研磨粒径只能研磨到</w:t>
      </w:r>
      <w:r>
        <w:rPr>
          <w:rFonts w:hint="eastAsia"/>
        </w:rPr>
        <w:t>8um</w:t>
      </w:r>
      <w:r>
        <w:rPr>
          <w:rFonts w:hint="eastAsia"/>
        </w:rPr>
        <w:t>。</w:t>
      </w:r>
      <w:r>
        <w:rPr>
          <w:rFonts w:hint="eastAsia"/>
        </w:rPr>
        <w:t>8um</w:t>
      </w:r>
      <w:r>
        <w:rPr>
          <w:rFonts w:hint="eastAsia"/>
        </w:rPr>
        <w:t>以下粒径，就必须使用粉体湿式研磨。</w:t>
      </w:r>
      <w:r>
        <w:rPr>
          <w:rFonts w:hint="eastAsia"/>
        </w:rPr>
        <w:cr/>
      </w:r>
    </w:p>
    <w:p w:rsidR="00256B06" w:rsidRPr="00256B06" w:rsidRDefault="00256B06" w:rsidP="00256B06">
      <w:pPr>
        <w:rPr>
          <w:rFonts w:hint="eastAsia"/>
          <w:b/>
          <w:color w:val="0070C0"/>
          <w:sz w:val="28"/>
          <w:szCs w:val="28"/>
        </w:rPr>
      </w:pPr>
      <w:r w:rsidRPr="00256B06">
        <w:rPr>
          <w:rFonts w:hint="eastAsia"/>
          <w:b/>
          <w:color w:val="0070C0"/>
          <w:sz w:val="28"/>
          <w:szCs w:val="28"/>
        </w:rPr>
        <w:t>那么什么是粉体行业湿法研磨？</w:t>
      </w:r>
    </w:p>
    <w:p w:rsidR="00256B06" w:rsidRDefault="00256B06" w:rsidP="00256B06">
      <w:pPr>
        <w:rPr>
          <w:rFonts w:hint="eastAsia"/>
        </w:rPr>
      </w:pPr>
      <w:r>
        <w:rPr>
          <w:rFonts w:hint="eastAsia"/>
        </w:rPr>
        <w:t>所谓湿法研磨即先将纳米粉体与适当溶剂混和，调制成适当材料。为了避免于研磨过程中发生粉体凝聚现象，所以需加入适当分散剂或助剂当助磨剂。若希望最后纳米级成品为粉体而非浆料，则需考虑到如何先将浆料中的大颗粒粒子过滤及如何将过滤后的浆料干燥以得到纳米级的粉体。所以，当以湿法研磨方式得到纳米级粉体时，如何选择适当的溶剂、助剂、过滤方法及干燥方法将也影响到是否能成功地得到纳米级粉体。</w:t>
      </w:r>
    </w:p>
    <w:p w:rsidR="00256B06" w:rsidRDefault="00256B06" w:rsidP="00256B06">
      <w:pPr>
        <w:rPr>
          <w:rFonts w:hint="eastAsia"/>
        </w:rPr>
      </w:pPr>
    </w:p>
    <w:p w:rsidR="00256B06" w:rsidRDefault="00256B06" w:rsidP="00256B06">
      <w:pPr>
        <w:rPr>
          <w:rFonts w:hint="eastAsia"/>
        </w:rPr>
      </w:pPr>
      <w:r>
        <w:rPr>
          <w:rFonts w:hint="eastAsia"/>
          <w:b/>
          <w:color w:val="FF0000"/>
        </w:rPr>
        <w:t>粉体湿法研磨能否成功地达到研磨或分散目的，主要靠研磨间隙</w:t>
      </w:r>
      <w:r w:rsidRPr="00256B06">
        <w:rPr>
          <w:rFonts w:hint="eastAsia"/>
          <w:b/>
          <w:color w:val="FF0000"/>
        </w:rPr>
        <w:t>大小及材质之选择是否得当</w:t>
      </w:r>
      <w:r>
        <w:rPr>
          <w:rFonts w:hint="eastAsia"/>
        </w:rPr>
        <w:t>。所选择之研磨间隙需为</w:t>
      </w:r>
      <w:r>
        <w:rPr>
          <w:rFonts w:hint="eastAsia"/>
        </w:rPr>
        <w:t>0.1-0.4 mm</w:t>
      </w:r>
      <w:r>
        <w:rPr>
          <w:rFonts w:hint="eastAsia"/>
        </w:rPr>
        <w:t>或以下。同时，为了让那么小的研磨间隙能够在研磨过程中不受浆料于主轴方向移动的推力影响而向前堵在滤网附近而导致研磨室因压力太高因而停机，其搅拌转子线速度需超过</w:t>
      </w:r>
      <w:r>
        <w:rPr>
          <w:rFonts w:hint="eastAsia"/>
        </w:rPr>
        <w:t xml:space="preserve">10 m/sec </w:t>
      </w:r>
      <w:r>
        <w:rPr>
          <w:rFonts w:hint="eastAsia"/>
        </w:rPr>
        <w:t>以上。同时，浆料粘度控制调整到</w:t>
      </w:r>
      <w:r>
        <w:rPr>
          <w:rFonts w:hint="eastAsia"/>
        </w:rPr>
        <w:t>100 cps</w:t>
      </w:r>
      <w:r>
        <w:rPr>
          <w:rFonts w:hint="eastAsia"/>
        </w:rPr>
        <w:t>以下，以便让研磨间隙运动不受浆料粘度影响。同时，浆料的固体成分也需控制在</w:t>
      </w:r>
      <w:r>
        <w:rPr>
          <w:rFonts w:hint="eastAsia"/>
        </w:rPr>
        <w:t>35</w:t>
      </w:r>
      <w:r>
        <w:rPr>
          <w:rFonts w:hint="eastAsia"/>
        </w:rPr>
        <w:t>％以下，以防止研磨过程中因粉体比表面积之增加而导致粘度上升而无法继续使用小磨球。当然，为了避免</w:t>
      </w:r>
      <w:r>
        <w:rPr>
          <w:rFonts w:hint="eastAsia"/>
        </w:rPr>
        <w:t>0.3-0.4mm</w:t>
      </w:r>
      <w:r>
        <w:rPr>
          <w:rFonts w:hint="eastAsia"/>
        </w:rPr>
        <w:t>磨球从动态分离器流出研磨室或塞在滤网上，所以滤网间隙需调整到</w:t>
      </w:r>
      <w:r>
        <w:rPr>
          <w:rFonts w:hint="eastAsia"/>
        </w:rPr>
        <w:t>0.1 mm</w:t>
      </w:r>
      <w:r>
        <w:rPr>
          <w:rFonts w:hint="eastAsia"/>
        </w:rPr>
        <w:t>。</w:t>
      </w:r>
    </w:p>
    <w:p w:rsidR="00256B06" w:rsidRPr="00256B06" w:rsidRDefault="00256B06" w:rsidP="00256B06">
      <w:pPr>
        <w:rPr>
          <w:rFonts w:hint="eastAsia"/>
          <w:b/>
        </w:rPr>
      </w:pPr>
      <w:r w:rsidRPr="00256B06">
        <w:rPr>
          <w:rFonts w:hint="eastAsia"/>
          <w:b/>
        </w:rPr>
        <w:t>为了快速达到粉体湿法研磨粒径要求且使研磨机可以正常地运转，所需控制的法则及参数如下：</w:t>
      </w:r>
    </w:p>
    <w:p w:rsidR="00256B06" w:rsidRDefault="00256B06" w:rsidP="00256B06">
      <w:pPr>
        <w:rPr>
          <w:rFonts w:hint="eastAsia"/>
        </w:rPr>
      </w:pPr>
      <w:r>
        <w:rPr>
          <w:rFonts w:hint="eastAsia"/>
        </w:rPr>
        <w:lastRenderedPageBreak/>
        <w:t>1.</w:t>
      </w:r>
      <w:r>
        <w:rPr>
          <w:rFonts w:hint="eastAsia"/>
        </w:rPr>
        <w:t>依照所需粒径要求选择适当的研磨间隙。若需达到纳米级要求且避免研磨间隙损耗，选莫氏硬度越大越好，研磨间隙表面需为真圆，没有孔隙，大小为</w:t>
      </w:r>
      <w:r>
        <w:rPr>
          <w:rFonts w:hint="eastAsia"/>
        </w:rPr>
        <w:t>0.05-0.4 mm</w:t>
      </w:r>
      <w:r>
        <w:rPr>
          <w:rFonts w:hint="eastAsia"/>
        </w:rPr>
        <w:t>。研磨间隙越小，则研磨效果越好，所需比能量值也会越小。</w:t>
      </w:r>
      <w:r>
        <w:rPr>
          <w:rFonts w:hint="eastAsia"/>
        </w:rPr>
        <w:t xml:space="preserve"> </w:t>
      </w:r>
      <w:r>
        <w:rPr>
          <w:rFonts w:hint="eastAsia"/>
        </w:rPr>
        <w:t>研磨间隙选择适当与否将会决定能否成功地研磨到所欲达到粒径要求。</w:t>
      </w:r>
    </w:p>
    <w:p w:rsidR="00256B06" w:rsidRDefault="00256B06" w:rsidP="00256B06">
      <w:pPr>
        <w:rPr>
          <w:rFonts w:hint="eastAsia"/>
        </w:rPr>
      </w:pPr>
      <w:r>
        <w:rPr>
          <w:rFonts w:hint="eastAsia"/>
        </w:rPr>
        <w:t>2.</w:t>
      </w:r>
      <w:r>
        <w:rPr>
          <w:rFonts w:hint="eastAsia"/>
        </w:rPr>
        <w:t>依据研磨间隙大小及浆料黏滞性调整适当的搅拌转子转速。一般纳米级研磨，转速需达</w:t>
      </w:r>
      <w:r>
        <w:rPr>
          <w:rFonts w:hint="eastAsia"/>
        </w:rPr>
        <w:t>12.5 m/sec</w:t>
      </w:r>
      <w:r>
        <w:rPr>
          <w:rFonts w:hint="eastAsia"/>
        </w:rPr>
        <w:t>以上。</w:t>
      </w:r>
    </w:p>
    <w:p w:rsidR="00256B06" w:rsidRDefault="00256B06" w:rsidP="00256B06">
      <w:pPr>
        <w:rPr>
          <w:rFonts w:hint="eastAsia"/>
        </w:rPr>
      </w:pPr>
      <w:r>
        <w:rPr>
          <w:rFonts w:hint="eastAsia"/>
        </w:rPr>
        <w:t xml:space="preserve">3. </w:t>
      </w:r>
      <w:r>
        <w:rPr>
          <w:rFonts w:hint="eastAsia"/>
        </w:rPr>
        <w:t>控制研磨浆料温度。一般纳米级浆料的研磨温度需控制在</w:t>
      </w:r>
      <w:r>
        <w:rPr>
          <w:rFonts w:hint="eastAsia"/>
        </w:rPr>
        <w:t>45</w:t>
      </w:r>
      <w:r>
        <w:rPr>
          <w:rFonts w:hint="eastAsia"/>
        </w:rPr>
        <w:t>℃以下。影响到浆料温度的主要参数为控制转子转速、研磨间隙充填率、研磨桶热交换面积大小、冷却水条件及流量</w:t>
      </w:r>
    </w:p>
    <w:p w:rsidR="00256B06" w:rsidRDefault="00256B06" w:rsidP="00256B06">
      <w:pPr>
        <w:rPr>
          <w:rFonts w:hint="eastAsia"/>
        </w:rPr>
      </w:pPr>
      <w:r>
        <w:rPr>
          <w:rFonts w:hint="eastAsia"/>
        </w:rPr>
        <w:t>4..</w:t>
      </w:r>
      <w:r>
        <w:rPr>
          <w:rFonts w:hint="eastAsia"/>
        </w:rPr>
        <w:t>依据研磨间隙大小选择适当动态分离系统间隙。一般间隙为磨球直径的</w:t>
      </w:r>
      <w:r>
        <w:rPr>
          <w:rFonts w:hint="eastAsia"/>
        </w:rPr>
        <w:t>1/2</w:t>
      </w:r>
      <w:r>
        <w:rPr>
          <w:rFonts w:hint="eastAsia"/>
        </w:rPr>
        <w:t>～</w:t>
      </w:r>
      <w:r>
        <w:rPr>
          <w:rFonts w:hint="eastAsia"/>
        </w:rPr>
        <w:t>1/3</w:t>
      </w:r>
      <w:r>
        <w:rPr>
          <w:rFonts w:hint="eastAsia"/>
        </w:rPr>
        <w:t>。</w:t>
      </w:r>
    </w:p>
    <w:p w:rsidR="00256B06" w:rsidRDefault="00256B06" w:rsidP="00256B06">
      <w:pPr>
        <w:rPr>
          <w:rFonts w:hint="eastAsia"/>
        </w:rPr>
      </w:pPr>
      <w:r>
        <w:rPr>
          <w:rFonts w:hint="eastAsia"/>
        </w:rPr>
        <w:t>5..</w:t>
      </w:r>
      <w:r>
        <w:rPr>
          <w:rFonts w:hint="eastAsia"/>
        </w:rPr>
        <w:t>调整泵转速。在研磨桶可以接受压力范围内，泵的转速越大越好。如此，可以在同一研磨时间内增加浆料经过研磨机研磨次数以得到较窄粒径分布。</w:t>
      </w:r>
    </w:p>
    <w:p w:rsidR="00256B06" w:rsidRDefault="00256B06" w:rsidP="00256B06">
      <w:pPr>
        <w:rPr>
          <w:rFonts w:hint="eastAsia"/>
        </w:rPr>
      </w:pPr>
      <w:r>
        <w:rPr>
          <w:rFonts w:hint="eastAsia"/>
        </w:rPr>
        <w:t>一般要得到纳米级粉体，均需利用研磨机研磨数十次，甚至上百次才可以达到纳米级粉体。为了节省人力及有利于自动化及无人化操作，笔者推荐使用循环式操作模式做纳米级粉体研磨。循环桶槽需有热夹套层的设计以增加研磨效率。</w:t>
      </w:r>
    </w:p>
    <w:p w:rsidR="00256B06" w:rsidRDefault="00256B06" w:rsidP="00256B06">
      <w:pPr>
        <w:rPr>
          <w:rFonts w:hint="eastAsia"/>
        </w:rPr>
      </w:pPr>
      <w:r>
        <w:rPr>
          <w:rFonts w:hint="eastAsia"/>
        </w:rPr>
        <w:t>若欲满足细、快、污染更少、</w:t>
      </w:r>
      <w:r>
        <w:rPr>
          <w:rFonts w:hint="eastAsia"/>
        </w:rPr>
        <w:t xml:space="preserve"> </w:t>
      </w:r>
      <w:r>
        <w:rPr>
          <w:rFonts w:hint="eastAsia"/>
        </w:rPr>
        <w:t>纳米级粉体湿法</w:t>
      </w:r>
      <w:r>
        <w:rPr>
          <w:rFonts w:hint="eastAsia"/>
        </w:rPr>
        <w:t xml:space="preserve"> </w:t>
      </w:r>
      <w:r>
        <w:rPr>
          <w:rFonts w:hint="eastAsia"/>
        </w:rPr>
        <w:t>研磨要求，需满足下列条件：</w:t>
      </w:r>
      <w:r>
        <w:rPr>
          <w:rFonts w:hint="eastAsia"/>
        </w:rPr>
        <w:t xml:space="preserve">  </w:t>
      </w:r>
      <w:r>
        <w:rPr>
          <w:rFonts w:hint="eastAsia"/>
        </w:rPr>
        <w:t>先认清研磨材料的特性与产品要求。</w:t>
      </w:r>
      <w:r>
        <w:rPr>
          <w:rFonts w:hint="eastAsia"/>
        </w:rPr>
        <w:t xml:space="preserve">  </w:t>
      </w:r>
      <w:r>
        <w:rPr>
          <w:rFonts w:hint="eastAsia"/>
        </w:rPr>
        <w:t>根据材料特性要求找到适当研磨机与之匹配的研磨间隙。</w:t>
      </w:r>
      <w:r>
        <w:rPr>
          <w:rFonts w:hint="eastAsia"/>
        </w:rPr>
        <w:t xml:space="preserve">  </w:t>
      </w:r>
      <w:r>
        <w:rPr>
          <w:rFonts w:hint="eastAsia"/>
        </w:rPr>
        <w:t>匹配适当配套设备，如冰水机、压缩空气机、预搅拌机、盘式预磨机及移动物料桶等。</w:t>
      </w:r>
      <w:r>
        <w:rPr>
          <w:rFonts w:hint="eastAsia"/>
        </w:rPr>
        <w:t xml:space="preserve">  </w:t>
      </w:r>
      <w:r>
        <w:rPr>
          <w:rFonts w:hint="eastAsia"/>
        </w:rPr>
        <w:t>找到合适产品的助剂与工艺流程。</w:t>
      </w:r>
      <w:r>
        <w:rPr>
          <w:rFonts w:hint="eastAsia"/>
        </w:rPr>
        <w:t xml:space="preserve">  </w:t>
      </w:r>
      <w:r>
        <w:rPr>
          <w:rFonts w:hint="eastAsia"/>
        </w:rPr>
        <w:t>与上、下游有完善的沟通，以便调整最佳配方与研磨条件，提高纳米粉体相容性。</w:t>
      </w:r>
    </w:p>
    <w:p w:rsidR="004358AB" w:rsidRDefault="00256B06" w:rsidP="00256B06">
      <w:pPr>
        <w:rPr>
          <w:rFonts w:hint="eastAsia"/>
        </w:rPr>
      </w:pPr>
      <w:r>
        <w:rPr>
          <w:rFonts w:hint="eastAsia"/>
        </w:rPr>
        <w:t>若欲有效率地得到纳米级粉体分散研磨，大流量、小磨介已成为不可或缺的法则。因此，新一代纳米级研磨机构造需能满足“大流量、小磨球”设计法则。粉体湿法研磨纳米砂磨机我们推荐</w:t>
      </w:r>
      <w:r>
        <w:rPr>
          <w:rFonts w:hint="eastAsia"/>
        </w:rPr>
        <w:t>CMSD</w:t>
      </w:r>
      <w:r>
        <w:rPr>
          <w:rFonts w:hint="eastAsia"/>
        </w:rPr>
        <w:t>湿法研磨分散机。</w:t>
      </w:r>
    </w:p>
    <w:p w:rsidR="00256B06" w:rsidRPr="00256B06" w:rsidRDefault="00256B06" w:rsidP="00256B06">
      <w:pPr>
        <w:rPr>
          <w:rFonts w:hint="eastAsia"/>
          <w:b/>
          <w:color w:val="0070C0"/>
          <w:sz w:val="28"/>
          <w:szCs w:val="28"/>
        </w:rPr>
      </w:pPr>
      <w:r w:rsidRPr="00256B06">
        <w:rPr>
          <w:rFonts w:hint="eastAsia"/>
          <w:b/>
          <w:color w:val="0070C0"/>
          <w:sz w:val="28"/>
          <w:szCs w:val="28"/>
        </w:rPr>
        <w:t>【上海依肯</w:t>
      </w:r>
      <w:r w:rsidRPr="00256B06">
        <w:rPr>
          <w:rFonts w:hint="eastAsia"/>
          <w:b/>
          <w:color w:val="0070C0"/>
          <w:sz w:val="28"/>
          <w:szCs w:val="28"/>
        </w:rPr>
        <w:t>CMSD</w:t>
      </w:r>
      <w:r w:rsidRPr="00256B06">
        <w:rPr>
          <w:rFonts w:hint="eastAsia"/>
          <w:b/>
          <w:color w:val="0070C0"/>
          <w:sz w:val="28"/>
          <w:szCs w:val="28"/>
        </w:rPr>
        <w:t>湿法研磨分散机简介】</w:t>
      </w:r>
    </w:p>
    <w:p w:rsidR="00256B06" w:rsidRPr="00256B06" w:rsidRDefault="00256B06" w:rsidP="00256B06">
      <w:pPr>
        <w:pStyle w:val="a4"/>
        <w:spacing w:before="0" w:beforeAutospacing="0" w:after="0" w:afterAutospacing="0" w:line="315" w:lineRule="atLeast"/>
        <w:rPr>
          <w:rFonts w:ascii="Tahoma" w:eastAsia="微软雅黑" w:hAnsi="Tahoma" w:cstheme="minorBidi"/>
          <w:sz w:val="22"/>
          <w:szCs w:val="22"/>
        </w:rPr>
      </w:pPr>
      <w:r w:rsidRPr="00256B06">
        <w:rPr>
          <w:rFonts w:ascii="Tahoma" w:eastAsia="微软雅黑" w:hAnsi="Tahoma" w:cstheme="minorBidi"/>
          <w:sz w:val="22"/>
          <w:szCs w:val="22"/>
        </w:rPr>
        <w:t>KN</w:t>
      </w:r>
      <w:r w:rsidRPr="00256B06">
        <w:rPr>
          <w:rFonts w:ascii="Tahoma" w:eastAsia="微软雅黑" w:hAnsi="Tahoma" w:cstheme="minorBidi" w:hint="eastAsia"/>
          <w:sz w:val="22"/>
          <w:szCs w:val="22"/>
        </w:rPr>
        <w:t>研磨分散机，是由胶体磨和分散机组合而成的。将三级高剪切均质乳化机进行改装，三级变跟为一级，然后在乳化头上面加配了胶体磨磨头，使物料可以先经过胶体磨细化物料，然后再经过乳化机将物料分散乳化均质。物料既可以有效分散，又可以防止团聚。</w:t>
      </w:r>
    </w:p>
    <w:p w:rsidR="00256B06" w:rsidRDefault="00256B06" w:rsidP="00256B06">
      <w:pPr>
        <w:pStyle w:val="a4"/>
        <w:spacing w:before="0" w:beforeAutospacing="0" w:after="0" w:afterAutospacing="0" w:line="315" w:lineRule="atLeast"/>
        <w:rPr>
          <w:rFonts w:ascii="Arial" w:hAnsi="Arial" w:cs="Arial"/>
          <w:color w:val="3B3B3B"/>
          <w:sz w:val="18"/>
          <w:szCs w:val="18"/>
        </w:rPr>
      </w:pPr>
    </w:p>
    <w:p w:rsidR="00256B06" w:rsidRPr="00256B06" w:rsidRDefault="00256B06" w:rsidP="00256B06">
      <w:pPr>
        <w:rPr>
          <w:rFonts w:hint="eastAsia"/>
        </w:rPr>
      </w:pPr>
      <w:r w:rsidRPr="00256B06">
        <w:t>三级错齿结构的研磨转子，配合精密的定子腔。</w:t>
      </w:r>
      <w:r>
        <w:rPr>
          <w:rFonts w:ascii="黑体" w:eastAsia="黑体" w:hAnsi="黑体"/>
          <w:color w:val="000000"/>
          <w:sz w:val="27"/>
          <w:szCs w:val="27"/>
          <w:shd w:val="clear" w:color="auto" w:fill="FFFFFF"/>
        </w:rPr>
        <w:t>此款立式</w:t>
      </w:r>
      <w:r>
        <w:rPr>
          <w:rFonts w:ascii="黑体" w:eastAsia="黑体" w:hAnsi="黑体" w:hint="eastAsia"/>
          <w:color w:val="000000"/>
          <w:sz w:val="27"/>
          <w:szCs w:val="27"/>
          <w:shd w:val="clear" w:color="auto" w:fill="FFFFFF"/>
        </w:rPr>
        <w:t>胶体磨</w:t>
      </w:r>
      <w:r>
        <w:rPr>
          <w:rFonts w:ascii="黑体" w:eastAsia="黑体" w:hAnsi="黑体"/>
          <w:color w:val="000000"/>
          <w:sz w:val="27"/>
          <w:szCs w:val="27"/>
          <w:shd w:val="clear" w:color="auto" w:fill="FFFFFF"/>
        </w:rPr>
        <w:t>比普通的卧式胶体磨的速度达到3倍以上,最小的转速可以达到14000RPM。</w:t>
      </w:r>
      <w:r w:rsidRPr="00256B06">
        <w:t>所以可以达到更好的分散湿磨效果。</w:t>
      </w:r>
    </w:p>
    <w:p w:rsidR="00256B06" w:rsidRDefault="00256B06" w:rsidP="00256B06">
      <w:pPr>
        <w:pStyle w:val="a4"/>
        <w:spacing w:before="0" w:beforeAutospacing="0" w:after="0" w:afterAutospacing="0" w:line="315" w:lineRule="atLeast"/>
        <w:rPr>
          <w:rFonts w:ascii="Arial" w:hAnsi="Arial" w:cs="Arial"/>
          <w:b/>
          <w:bCs/>
          <w:color w:val="3B3B3B"/>
          <w:sz w:val="18"/>
          <w:szCs w:val="18"/>
        </w:rPr>
      </w:pPr>
      <w:r>
        <w:rPr>
          <w:rFonts w:hint="eastAsia"/>
          <w:b/>
          <w:bCs/>
          <w:color w:val="333333"/>
          <w:sz w:val="18"/>
          <w:szCs w:val="18"/>
        </w:rPr>
        <w:lastRenderedPageBreak/>
        <w:t>研磨分散机的技术参数：</w:t>
      </w:r>
    </w:p>
    <w:tbl>
      <w:tblPr>
        <w:tblW w:w="0" w:type="auto"/>
        <w:tblLayout w:type="fixed"/>
        <w:tblCellMar>
          <w:top w:w="15" w:type="dxa"/>
          <w:left w:w="15" w:type="dxa"/>
          <w:bottom w:w="15" w:type="dxa"/>
          <w:right w:w="15" w:type="dxa"/>
        </w:tblCellMar>
        <w:tblLook w:val="0000"/>
      </w:tblPr>
      <w:tblGrid>
        <w:gridCol w:w="374"/>
        <w:gridCol w:w="914"/>
        <w:gridCol w:w="1137"/>
        <w:gridCol w:w="1017"/>
        <w:gridCol w:w="912"/>
        <w:gridCol w:w="912"/>
        <w:gridCol w:w="1394"/>
        <w:gridCol w:w="1015"/>
      </w:tblGrid>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型号</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流量</w:t>
            </w:r>
          </w:p>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L/H</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转速</w:t>
            </w:r>
          </w:p>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rpm</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线速度</w:t>
            </w:r>
          </w:p>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m/s</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功率</w:t>
            </w:r>
          </w:p>
          <w:p w:rsidR="00256B06" w:rsidRDefault="00256B06" w:rsidP="006C0674">
            <w:pPr>
              <w:pStyle w:val="a4"/>
              <w:spacing w:before="0" w:beforeAutospacing="0" w:after="0" w:afterAutospacing="0" w:line="315" w:lineRule="atLeast"/>
              <w:jc w:val="center"/>
              <w:rPr>
                <w:sz w:val="18"/>
                <w:szCs w:val="18"/>
              </w:rPr>
            </w:pPr>
            <w:proofErr w:type="spellStart"/>
            <w:r>
              <w:rPr>
                <w:rFonts w:hint="eastAsia"/>
                <w:color w:val="333333"/>
                <w:sz w:val="18"/>
                <w:szCs w:val="18"/>
              </w:rPr>
              <w:t>kw</w:t>
            </w:r>
            <w:proofErr w:type="spellEnd"/>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入/出口连接</w:t>
            </w:r>
          </w:p>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CMD2000/4</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300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9000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2.2</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DN25/DN15</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CMD2000/5</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1000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6000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7.5</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DN40/DN32</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CMD2000/10</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2000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4200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22</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DN80/DN65</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CMD2000/20</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5000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2850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37</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DN80/DN65</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CMD2000/30</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8000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1420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55</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DN150/DN125</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128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CMD2000/50</w:t>
            </w:r>
          </w:p>
        </w:tc>
        <w:tc>
          <w:tcPr>
            <w:tcW w:w="113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15000</w:t>
            </w:r>
          </w:p>
        </w:tc>
        <w:tc>
          <w:tcPr>
            <w:tcW w:w="10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1100</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23</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110</w:t>
            </w:r>
          </w:p>
        </w:tc>
        <w:tc>
          <w:tcPr>
            <w:tcW w:w="139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jc w:val="center"/>
              <w:rPr>
                <w:sz w:val="18"/>
                <w:szCs w:val="18"/>
              </w:rPr>
            </w:pPr>
            <w:r>
              <w:rPr>
                <w:rFonts w:hint="eastAsia"/>
                <w:color w:val="333333"/>
                <w:sz w:val="18"/>
                <w:szCs w:val="18"/>
              </w:rPr>
              <w:t>DN200/DN150</w:t>
            </w:r>
          </w:p>
        </w:tc>
        <w:tc>
          <w:tcPr>
            <w:tcW w:w="1015" w:type="dxa"/>
            <w:tcBorders>
              <w:left w:val="single" w:sz="4" w:space="0" w:color="auto"/>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r>
      <w:tr w:rsidR="00256B06" w:rsidTr="006C0674">
        <w:tc>
          <w:tcPr>
            <w:tcW w:w="374" w:type="dxa"/>
            <w:tcBorders>
              <w:top w:val="nil"/>
              <w:left w:val="dotted" w:sz="6" w:space="0" w:color="D3D3D3"/>
              <w:right w:val="dotted" w:sz="6" w:space="0" w:color="D3D3D3"/>
            </w:tcBorders>
            <w:tcMar>
              <w:top w:w="0" w:type="dxa"/>
              <w:left w:w="105" w:type="dxa"/>
              <w:bottom w:w="0" w:type="dxa"/>
              <w:right w:w="105" w:type="dxa"/>
            </w:tcMar>
            <w:vAlign w:val="center"/>
          </w:tcPr>
          <w:p w:rsidR="00256B06" w:rsidRDefault="00256B06" w:rsidP="006C0674">
            <w:pPr>
              <w:spacing w:line="23" w:lineRule="atLeast"/>
              <w:rPr>
                <w:rFonts w:ascii="sans serif" w:eastAsia="sans serif" w:hAnsi="sans serif" w:cs="sans serif"/>
                <w:color w:val="3B3B3B"/>
                <w:sz w:val="18"/>
                <w:szCs w:val="18"/>
              </w:rPr>
            </w:pPr>
          </w:p>
        </w:tc>
        <w:tc>
          <w:tcPr>
            <w:tcW w:w="7301" w:type="dxa"/>
            <w:gridSpan w:val="7"/>
            <w:tcBorders>
              <w:left w:val="nil"/>
            </w:tcBorders>
            <w:tcMar>
              <w:top w:w="0" w:type="dxa"/>
              <w:left w:w="105" w:type="dxa"/>
              <w:bottom w:w="0" w:type="dxa"/>
              <w:right w:w="105" w:type="dxa"/>
            </w:tcMar>
          </w:tcPr>
          <w:p w:rsidR="00256B06" w:rsidRDefault="00256B06" w:rsidP="006C0674">
            <w:pPr>
              <w:pStyle w:val="a4"/>
              <w:spacing w:before="0" w:beforeAutospacing="0" w:after="0" w:afterAutospacing="0" w:line="315" w:lineRule="atLeast"/>
              <w:rPr>
                <w:sz w:val="18"/>
                <w:szCs w:val="18"/>
              </w:rPr>
            </w:pPr>
            <w:r>
              <w:rPr>
                <w:rFonts w:hint="eastAsia"/>
                <w:color w:val="333333"/>
                <w:sz w:val="18"/>
                <w:szCs w:val="18"/>
              </w:rPr>
              <w:t>流量取决于设置的间隙和被处理物料的特性，同时流量可以被调节到最大允许量的10%。</w:t>
            </w:r>
          </w:p>
        </w:tc>
      </w:tr>
    </w:tbl>
    <w:p w:rsidR="00256B06" w:rsidRPr="00F504C0" w:rsidRDefault="00256B06" w:rsidP="00256B06">
      <w:pPr>
        <w:shd w:val="clear" w:color="auto" w:fill="FFFFFF"/>
        <w:adjustRightInd/>
        <w:snapToGrid/>
        <w:spacing w:before="180" w:after="120" w:line="302" w:lineRule="atLeast"/>
        <w:rPr>
          <w:rFonts w:ascii="微软雅黑" w:hAnsi="微软雅黑" w:cs="宋体"/>
          <w:b/>
          <w:color w:val="333333"/>
          <w:sz w:val="24"/>
          <w:szCs w:val="24"/>
        </w:rPr>
      </w:pPr>
      <w:r w:rsidRPr="00F504C0">
        <w:rPr>
          <w:rFonts w:ascii="微软雅黑" w:hAnsi="微软雅黑" w:cs="宋体"/>
          <w:b/>
          <w:color w:val="333333"/>
          <w:sz w:val="24"/>
          <w:szCs w:val="24"/>
        </w:rPr>
        <w:t>在设计上的突出特点：</w:t>
      </w:r>
    </w:p>
    <w:p w:rsidR="00256B06" w:rsidRPr="00F504C0" w:rsidRDefault="00256B06" w:rsidP="00256B06">
      <w:pPr>
        <w:shd w:val="clear" w:color="auto" w:fill="FFFFFF"/>
        <w:adjustRightInd/>
        <w:snapToGrid/>
        <w:spacing w:before="180" w:after="120" w:line="302" w:lineRule="atLeast"/>
      </w:pPr>
      <w:r w:rsidRPr="00F504C0">
        <w:rPr>
          <w:rFonts w:hint="eastAsia"/>
        </w:rPr>
        <w:t>①</w:t>
      </w:r>
      <w:r w:rsidRPr="00F504C0">
        <w:t xml:space="preserve"> </w:t>
      </w:r>
      <w:r w:rsidRPr="00F504C0">
        <w:t>可更换式加工模块，实现混合，分散，均质，乳化，悬浮，湿磨，液粉混合等多种功能。</w:t>
      </w:r>
    </w:p>
    <w:p w:rsidR="00256B06" w:rsidRPr="00F504C0" w:rsidRDefault="00256B06" w:rsidP="00256B06">
      <w:pPr>
        <w:shd w:val="clear" w:color="auto" w:fill="FFFFFF"/>
        <w:adjustRightInd/>
        <w:snapToGrid/>
        <w:spacing w:before="180" w:after="120" w:line="302" w:lineRule="atLeast"/>
      </w:pPr>
      <w:r w:rsidRPr="00F504C0">
        <w:rPr>
          <w:rFonts w:hint="eastAsia"/>
        </w:rPr>
        <w:t>②</w:t>
      </w:r>
      <w:r w:rsidRPr="00F504C0">
        <w:t xml:space="preserve"> </w:t>
      </w:r>
      <w:r w:rsidRPr="00F504C0">
        <w:t>中试到生产，无需重新调整工艺参数。</w:t>
      </w:r>
    </w:p>
    <w:p w:rsidR="00256B06" w:rsidRPr="00F504C0" w:rsidRDefault="00256B06" w:rsidP="00256B06">
      <w:pPr>
        <w:shd w:val="clear" w:color="auto" w:fill="FFFFFF"/>
        <w:adjustRightInd/>
        <w:snapToGrid/>
        <w:spacing w:before="180" w:after="120" w:line="302" w:lineRule="atLeast"/>
      </w:pPr>
      <w:r w:rsidRPr="00F504C0">
        <w:rPr>
          <w:rFonts w:hint="eastAsia"/>
        </w:rPr>
        <w:t>③</w:t>
      </w:r>
      <w:r w:rsidRPr="00F504C0">
        <w:t xml:space="preserve"> </w:t>
      </w:r>
      <w:r w:rsidRPr="00F504C0">
        <w:t>轴封材料为</w:t>
      </w:r>
      <w:r w:rsidRPr="00F504C0">
        <w:t>PTFE</w:t>
      </w:r>
      <w:r w:rsidRPr="00F504C0">
        <w:t>，易于更换。</w:t>
      </w:r>
    </w:p>
    <w:p w:rsidR="00256B06" w:rsidRPr="00F504C0" w:rsidRDefault="00256B06" w:rsidP="00256B06">
      <w:pPr>
        <w:shd w:val="clear" w:color="auto" w:fill="FFFFFF"/>
        <w:adjustRightInd/>
        <w:snapToGrid/>
        <w:spacing w:before="180" w:after="120" w:line="302" w:lineRule="atLeast"/>
      </w:pPr>
      <w:r w:rsidRPr="00F504C0">
        <w:rPr>
          <w:rFonts w:hint="eastAsia"/>
        </w:rPr>
        <w:t>④</w:t>
      </w:r>
      <w:r w:rsidRPr="00F504C0">
        <w:t xml:space="preserve"> </w:t>
      </w:r>
      <w:r w:rsidRPr="00F504C0">
        <w:t>可配置</w:t>
      </w:r>
      <w:hyperlink r:id="rId4" w:tgtFrame="_blank" w:history="1">
        <w:r w:rsidRPr="00256B06">
          <w:t>变频控制柜</w:t>
        </w:r>
      </w:hyperlink>
      <w:r w:rsidRPr="00F504C0">
        <w:t>，调节转速及流量。</w:t>
      </w:r>
    </w:p>
    <w:p w:rsidR="00256B06" w:rsidRPr="00256B06" w:rsidRDefault="00256B06" w:rsidP="00256B06"/>
    <w:sectPr w:rsidR="00256B06" w:rsidRPr="00256B0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ans 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256B06"/>
    <w:rsid w:val="00256B06"/>
    <w:rsid w:val="00323B43"/>
    <w:rsid w:val="003D37D8"/>
    <w:rsid w:val="004358AB"/>
    <w:rsid w:val="008B7726"/>
    <w:rsid w:val="00D25C23"/>
    <w:rsid w:val="00FC3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6B06"/>
  </w:style>
  <w:style w:type="character" w:styleId="a3">
    <w:name w:val="Hyperlink"/>
    <w:basedOn w:val="a0"/>
    <w:uiPriority w:val="99"/>
    <w:semiHidden/>
    <w:unhideWhenUsed/>
    <w:rsid w:val="00256B06"/>
    <w:rPr>
      <w:color w:val="0000FF"/>
      <w:u w:val="single"/>
    </w:rPr>
  </w:style>
  <w:style w:type="paragraph" w:styleId="a4">
    <w:name w:val="Normal (Web)"/>
    <w:basedOn w:val="a"/>
    <w:uiPriority w:val="99"/>
    <w:unhideWhenUsed/>
    <w:rsid w:val="00256B0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c001.cn/tag-313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dc:creator>
  <cp:lastModifiedBy>boot</cp:lastModifiedBy>
  <cp:revision>1</cp:revision>
  <dcterms:created xsi:type="dcterms:W3CDTF">2018-01-18T02:22:00Z</dcterms:created>
  <dcterms:modified xsi:type="dcterms:W3CDTF">2018-01-18T02:31:00Z</dcterms:modified>
</cp:coreProperties>
</file>